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Commission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Quatrième Commission -Politiques spéciales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Question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: Permettre l'autodétermination sereine et régulée des peuples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Auteur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États-Unis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En droit international, le terme renvoie « autodétermination » au principe du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highlight w:val="white"/>
          <w:rtl w:val="0"/>
        </w:rPr>
        <w:t xml:space="preserve">droit des peuples à disposer d'eux-mêmes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, c'est-à-dire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highlight w:val="white"/>
          <w:rtl w:val="0"/>
        </w:rPr>
        <w:t xml:space="preserve">choisir librement leur État et leur forme de gouvernement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, de ne pas être cédés ou échangés contre leur volonté, et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highlight w:val="white"/>
          <w:rtl w:val="0"/>
        </w:rPr>
        <w:t xml:space="preserve">au besoin de faire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rtl w:val="0"/>
          </w:rPr>
          <w:t xml:space="preserve">sécession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(Acte par lequel une partie de la population d'un Etat  majoritaire dans un espace territorial donné, se sépare volontairement de cet État soit pour constituer elle-même une collectivité étatique indépendante, soit pour se réunir à un autre État). 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bookmarkStart w:colFirst="0" w:colLast="0" w:name="_9j1lpunbcf4e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Le principe d’autodétermination - inscrit dans la Charte des Nations unies, selon lequel tout peuple a le droit de déterminer son propre gouvernement, indépendamment de toute contrainte étrangère – désigne également les luttes et les mouvements de revendications particulièrement depuis la période de la décolonisation, après la seconde guerre mondiale.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Ce principe possède donc des racines historiques dans les mouvements de décolonisation - y compris et remontant aussi loin dans le temps que la guerre d’indépendance américaine. 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Cependant Les USA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highlight w:val="white"/>
          <w:rtl w:val="0"/>
        </w:rPr>
        <w:t xml:space="preserve">considèrent qu’il faut traiter ce principe avec circonspection en raison de son ambiguïté, concernant à la fois ses bénéficiaires et son applicabilité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Même si le droit à l’autodétermination est inclus dans de nombreux documents, il n’a jamais été défini explicitement. L’absence de définition claire et acceptée universellement est une des raisons primaires pour laquelle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 USA ne peuvent et ne veulent répondre de façon globale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 nombre sans cesse croissant de revendications à l’autodétermination ou à la sécession.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cause de l’extrême complexité de la plupart des mouvements d’autodétermination, impliquant notamment les considérations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souveraineté nationale, d’indivisibilité ou inviolabilité territoriale, d’impact local ou global, et de respect des droits de l’homme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un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principe absolu de réponse des USA ne saurait émerger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Chaque cas doit être vu dans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 contexte historique, géopolitique et domestique spécifique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La question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légitimité démocratique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reste la clé de ces considérations.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USA sont donc favorables à une étude au cas par cas de la réponse à apporter aux mouvements d’autodétermination.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niversalis.fr/encyclopedie/sec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