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2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Commission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Quatrième Commission -Politiques spéciales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Question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: Permettre l'autodétermination sereine et régulée des peuples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Auteur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États-Unis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  <w:rtl w:val="0"/>
        </w:rPr>
        <w:t xml:space="preserve">En droit international, le terme renvoie « autodétermination » au principe du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highlight w:val="white"/>
          <w:rtl w:val="0"/>
        </w:rPr>
        <w:t xml:space="preserve">droit des peuples à disposer d'eux-mêmes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  <w:rtl w:val="0"/>
        </w:rPr>
        <w:t xml:space="preserve">, c'est-à-dire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highlight w:val="white"/>
          <w:rtl w:val="0"/>
        </w:rPr>
        <w:t xml:space="preserve">choisir librement leur État et leur forme de gouvernement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  <w:rtl w:val="0"/>
        </w:rPr>
        <w:t xml:space="preserve">, de ne pas être cédés ou échangés contre leur volonté, et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highlight w:val="white"/>
          <w:rtl w:val="0"/>
        </w:rPr>
        <w:t xml:space="preserve">au besoin de faire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highlight w:val="white"/>
            <w:rtl w:val="0"/>
          </w:rPr>
          <w:t xml:space="preserve">sécession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  <w:rtl w:val="0"/>
        </w:rPr>
        <w:t xml:space="preserve">(Acte par lequel une partie de la population d'un Etat  majoritaire dans un espace territorial donné, se sépare volontairement de cet État soit pour constituer elle-même une collectivité étatique indépendante, soit pour se réunir à un autre État). 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</w:rPr>
      </w:pPr>
      <w:bookmarkStart w:colFirst="0" w:colLast="0" w:name="_9j1lpunbcf4e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Le principe d’autodétermination - inscrit dans la Charte des Nations unies, selon lequel tout peuple a le droit de déterminer son propre gouvernement, indépendamment de toute contrainte étrangère – désigne également les luttes et les mouvements de revendications particulièrement depuis la période de la décolonisation, après la seconde guerre mondiale.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  <w:rtl w:val="0"/>
        </w:rPr>
        <w:t xml:space="preserve">Ce principe possède donc des racines historiques dans les mouvements de décolonisation - y compris et remontant aussi loin dans le temps que la guerre d’indépendance américaine. 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  <w:rtl w:val="0"/>
        </w:rPr>
        <w:t xml:space="preserve">Cependant Les USA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highlight w:val="white"/>
          <w:rtl w:val="0"/>
        </w:rPr>
        <w:t xml:space="preserve">considèrent qu’il faut traiter ce principe avec circonspection en raison de son ambiguïté, concernant à la fois ses bénéficiaires et son applicabilité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Même si le droit à l’autodétermination est inclus dans de nombreux documents, il n’a jamais été défini explicitement. L’absence de définition claire et acceptée universellement est une des raisons primaires pour laquelle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 USA ne peuvent et ne veulent répondre de façon globale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 nombre sans cesse croissant de revendications à l’autodétermination ou à la sécession.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cause de l’extrême complexité de la plupart des mouvements d’autodétermination, impliquant notamment les considérations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souveraineté nationale, d’indivisibilité ou inviolabilité territoriale, d’impact local ou global, et de respect des droits de l’homme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principe absolu de réponse des USA ne saurait émerger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Chaque cas doit être vu dans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son contexte historique, géopolitique et domestique spécifique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La question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légitimité démocratique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reste la clé de ces considérations.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 USA sont donc favorables à une étude au cas par cas de la réponse à apporter aux mouvements d’autodétermination.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-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niversalis.fr/encyclopedie/sece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