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left"/>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Commission : Conseil de Securité historique </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Question : 23 septembre 1998 : le vote de la résolution 1199 sur un cessez-le-feu entre le Kosovo et la Serbie. </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Auteur : Chine </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bookmarkStart w:colFirst="0" w:colLast="0" w:name="gjdgxs" w:id="0"/>
    <w:bookmarkEnd w:id="0"/>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Honorable présidence et chers délégués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Depuis les années 1970, la Chine a fait de la Serbie son allié principal dans les Balkans. Avant cela, le secrétaire général du parti communiste yougoslave, Tito, accorde au Kosovo leur autonomie au sein de la République de Serbie. Les Balkans sont une des trois régions de l'Europe de Sud, elle est bordée par des mers sur trois côtés : la mer Adriatique et la mer Ionienne à l'Ouest, la mer Égée au Sud et la mer de  Marmara et la mer Noire à l'Est. De plus les régions qui souhaitent leur indépendance (Slovénie, Bosnie-Herzégovine et Croatie) font partie des Balkans. Également depuis les années 1970 et pendant la guerre froide, la rupture sino-soviétique a permis à la République Populaire de Chine de, premièrement, se débarrasser de son ancien allié soviétique. Deuxièmement, de se développer et de devenir la deuxième économie mondiale juste après les États-Unis.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La RPC s’engage dans une stratégie de développement dans laquelle elle va consolider et accélérer son implantation dans les Balkans. Or à partir des guerres de succession de l'ex-Yougoslavie durant la décennie 1990, Pékin s'est levé face à la stratégie des Etats-Unis d'étendre son emprise américaine sur toute l'Europe centrale, orientale et sud-orientale en proposant la protection de l’OTAN aux pays de l’Europe du Centre et de l’Est. Par ailleurs la RPC a implanté ses armées dans les petites républiques issues de l’ex-Fédération yougoslave, notamment au Kosovo, à la faveur des guerres de succession de l’ex-Yougoslavie. La Chine y voyait la grande stratégie de Washington  par l'intermédiaire de l’OTAN. La RPC a donc consolidé sa position et a profité de son nouveau statut de puissance mondiale tant économique que financière pour tisser ses liens dans les Balkans en investissant par exemple dans les infrastructures, l'énergie, les transports, l'industrie...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Les guerres d'ex-Yougoslavie, menées par les États-Unis et l'OTAN contre la Serbie, expliquent que la RPC soit l'un des rares soutiens de Belgrade. Par la suite, la Chine a soutenu la Serbie contre l'auto-proclamation de l'indépendance kosovare. La Serbie devient alors un grand allié de la Chine notamment contre la stratégie américaine. Toutes les petites républiques issues des guerres de succession d’ex-Yougoslavie ont de bonnes relations avec la Chine, à l’exception du Kosovo.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En effet, notre pays refuse de reconnaître le Kosovo à cause de son indépendance autoproclamée. La RPC parle d'inégalité et de dangerosité pour l’ordre national et mondial du fait de sa dépendance aux États-Unis.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br w:type="textWrapping"/>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fr-FR"/>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