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Commission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Politiques Spéciales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Question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Permettre l’autodétermination sereine et régulée des peuples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Argentine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L’autodétermination, la clé de la décolonisation, se trouve aujourd’hui au centre du débat faisant face à la mondialisation. Dans un monde de plus en plus ouvert, l’identité des peuples devient floue. Par conséquent, les mouvements nationalistes prennent de l’amplitude. Comme auparavant, l’autodétermination se situe au sein d’un carrefour entre un temps antérieur et un temps futur. Le dialogue entre pays au sein d’organisations internationales sera le vecteur qui définira l’autodétermination comme un atout ou un désavantage pour le futur.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Notre pays soutient l’autodétermination des peuples du moment où elle se produit en accord avec la legislation du pays et des régions affectées. La République Argentine, de part de son régime fédéral, proclame dans l’Article 5 de la Constitution Nationale l’implementation dans chaque province d’une constitution propre qui doit assurer une administration de justice, un régime municipal et l’enseignement primaire obligatoire en accord avec les principes, les declarations et les garanties soutenues par la Constitution Nationale donnant ainsi l’autonomie à chacune de ses provinces. (Pour plus d’information sur les provinces et leur autonomie voir Article 121 à Article 129 de la Constitution Nationale) La République Argentine reconnaît aussi les peuples indigènes et leur culture. Le pays garantit la participation des peuples dans la gestion de leurs ressources naturelles et dans autres intérêts qui les impliquent d’après l’Article 75, point 17 de la Constitution Nationale.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L’Argentine a reconnut dès 1920 le principe d’autodétermination avec notre participation dans la Société des Nations, puis le pays a réaffirmé sa position le 14 décembre 1960 à l’Assemblée Générale des Nations Unies en soutenant la résolution 1514 connue sous le nom de Déclaration sur l’octroi de l’indépendance aux pays et peuples coloniaux. La République Argentine s’appuie principalement dans le cadre des Nations Unies pour ce qui revient du jugement de conflits de politique internationale. Cette position peut être appréciée dans le cas sur la gouvernance d’un certain nombre d’archipels entre lesquels nous trouvons les Îles Malouines (Islas Malvinas) et les Îles Sandwich. La République Argentine s’en remet aux Nations Unies et plus précisément la résolution 2065 de 1965 qui donne les directrices à suivre pour la résolution de ce conflit.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 République Argentine sera en faveur du procès d’autodétermination des peuples si les procédures sont en accord avec nos politiques concernant des cas semblables aux Îles Malouines.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